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BA" w:rsidRDefault="00C832BA" w:rsidP="0007744A">
      <w:pPr>
        <w:tabs>
          <w:tab w:val="left" w:pos="0"/>
          <w:tab w:val="left" w:pos="3360"/>
          <w:tab w:val="left" w:pos="13847"/>
        </w:tabs>
        <w:rPr>
          <w:rFonts w:asciiTheme="minorHAnsi" w:hAnsiTheme="minorHAnsi" w:cs="Arial"/>
          <w:b/>
          <w:bCs/>
          <w:i/>
          <w:iCs/>
        </w:rPr>
      </w:pPr>
      <w:r w:rsidRPr="002E0D56">
        <w:rPr>
          <w:rFonts w:ascii="Calibri" w:hAnsi="Calibri"/>
          <w:b/>
          <w:bCs/>
          <w:noProof/>
          <w:color w:val="4F81BD" w:themeColor="accent1"/>
        </w:rPr>
        <w:drawing>
          <wp:anchor distT="0" distB="0" distL="114300" distR="114300" simplePos="0" relativeHeight="251658752" behindDoc="1" locked="0" layoutInCell="1" allowOverlap="1">
            <wp:simplePos x="0" y="0"/>
            <wp:positionH relativeFrom="margin">
              <wp:align>center</wp:align>
            </wp:positionH>
            <wp:positionV relativeFrom="paragraph">
              <wp:posOffset>0</wp:posOffset>
            </wp:positionV>
            <wp:extent cx="1339215" cy="1228725"/>
            <wp:effectExtent l="0" t="0" r="0" b="9525"/>
            <wp:wrapSquare wrapText="bothSides"/>
            <wp:docPr id="1" name="Immagine 1" descr="C:\Users\l.borrelli\Dropbox (PTS Consulting SpA)\Videogame\Videogames\logo e comunicazione let's play\Loghi\Loghi\letsPlayLoghi-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orrelli\Dropbox (PTS Consulting SpA)\Videogame\Videogames\logo e comunicazione let's play\Loghi\Loghi\letsPlayLoghi-0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921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32BA" w:rsidRDefault="00C832BA" w:rsidP="0007744A">
      <w:pPr>
        <w:tabs>
          <w:tab w:val="left" w:pos="0"/>
          <w:tab w:val="left" w:pos="3360"/>
          <w:tab w:val="left" w:pos="13847"/>
        </w:tabs>
        <w:rPr>
          <w:rFonts w:asciiTheme="minorHAnsi" w:hAnsiTheme="minorHAnsi" w:cs="Arial"/>
          <w:b/>
          <w:bCs/>
          <w:i/>
          <w:iCs/>
        </w:rPr>
      </w:pPr>
    </w:p>
    <w:p w:rsidR="00C832BA" w:rsidRDefault="00C832BA" w:rsidP="0007744A">
      <w:pPr>
        <w:tabs>
          <w:tab w:val="left" w:pos="0"/>
          <w:tab w:val="left" w:pos="3360"/>
          <w:tab w:val="left" w:pos="13847"/>
        </w:tabs>
        <w:rPr>
          <w:rFonts w:asciiTheme="minorHAnsi" w:hAnsiTheme="minorHAnsi" w:cs="Arial"/>
          <w:b/>
          <w:bCs/>
          <w:i/>
          <w:iCs/>
        </w:rPr>
      </w:pPr>
    </w:p>
    <w:p w:rsidR="00C832BA" w:rsidRDefault="00C832BA" w:rsidP="0007744A">
      <w:pPr>
        <w:tabs>
          <w:tab w:val="left" w:pos="0"/>
          <w:tab w:val="left" w:pos="3360"/>
          <w:tab w:val="left" w:pos="13847"/>
        </w:tabs>
        <w:rPr>
          <w:rFonts w:asciiTheme="minorHAnsi" w:hAnsiTheme="minorHAnsi" w:cs="Arial"/>
          <w:b/>
          <w:bCs/>
          <w:i/>
          <w:iCs/>
        </w:rPr>
      </w:pPr>
    </w:p>
    <w:p w:rsidR="00C832BA" w:rsidRDefault="00C832BA" w:rsidP="0007744A">
      <w:pPr>
        <w:tabs>
          <w:tab w:val="left" w:pos="0"/>
          <w:tab w:val="left" w:pos="3360"/>
          <w:tab w:val="left" w:pos="13847"/>
        </w:tabs>
        <w:rPr>
          <w:rFonts w:asciiTheme="minorHAnsi" w:hAnsiTheme="minorHAnsi" w:cs="Arial"/>
          <w:b/>
          <w:bCs/>
          <w:i/>
          <w:iCs/>
        </w:rPr>
      </w:pPr>
    </w:p>
    <w:p w:rsidR="00C832BA" w:rsidRDefault="00C832BA" w:rsidP="0007744A">
      <w:pPr>
        <w:tabs>
          <w:tab w:val="left" w:pos="0"/>
          <w:tab w:val="left" w:pos="3360"/>
          <w:tab w:val="left" w:pos="13847"/>
        </w:tabs>
        <w:rPr>
          <w:rFonts w:asciiTheme="minorHAnsi" w:hAnsiTheme="minorHAnsi" w:cs="Arial"/>
          <w:b/>
          <w:bCs/>
          <w:i/>
          <w:iCs/>
        </w:rPr>
      </w:pPr>
    </w:p>
    <w:p w:rsidR="00BD11A3" w:rsidRDefault="00BD11A3" w:rsidP="0007744A">
      <w:pPr>
        <w:tabs>
          <w:tab w:val="left" w:pos="0"/>
          <w:tab w:val="left" w:pos="3360"/>
          <w:tab w:val="left" w:pos="13847"/>
        </w:tabs>
        <w:rPr>
          <w:rFonts w:asciiTheme="minorHAnsi" w:hAnsiTheme="minorHAnsi" w:cs="Arial"/>
          <w:b/>
          <w:bCs/>
          <w:i/>
          <w:iCs/>
        </w:rPr>
      </w:pPr>
    </w:p>
    <w:p w:rsidR="001D77E1" w:rsidRDefault="00AE1646" w:rsidP="00AE1646">
      <w:pPr>
        <w:tabs>
          <w:tab w:val="left" w:pos="0"/>
          <w:tab w:val="left" w:pos="3360"/>
          <w:tab w:val="left" w:pos="13847"/>
        </w:tabs>
        <w:jc w:val="center"/>
        <w:rPr>
          <w:rFonts w:asciiTheme="minorHAnsi" w:hAnsiTheme="minorHAnsi" w:cs="Arial"/>
          <w:b/>
          <w:bCs/>
          <w:i/>
          <w:iCs/>
          <w:color w:val="FF0000"/>
          <w:sz w:val="32"/>
        </w:rPr>
      </w:pPr>
      <w:r w:rsidRPr="00AE1646">
        <w:rPr>
          <w:rFonts w:asciiTheme="minorHAnsi" w:hAnsiTheme="minorHAnsi" w:cs="Arial"/>
          <w:b/>
          <w:bCs/>
          <w:i/>
          <w:iCs/>
          <w:color w:val="FF0000"/>
          <w:sz w:val="32"/>
        </w:rPr>
        <w:t>FESTIVAL DEL VIDEOGIOCO</w:t>
      </w:r>
    </w:p>
    <w:p w:rsidR="00644CB3" w:rsidRPr="00AE1646" w:rsidRDefault="00644CB3" w:rsidP="00AE1646">
      <w:pPr>
        <w:tabs>
          <w:tab w:val="left" w:pos="0"/>
          <w:tab w:val="left" w:pos="3360"/>
          <w:tab w:val="left" w:pos="13847"/>
        </w:tabs>
        <w:jc w:val="center"/>
        <w:rPr>
          <w:rFonts w:asciiTheme="minorHAnsi" w:hAnsiTheme="minorHAnsi" w:cs="Arial"/>
          <w:b/>
          <w:bCs/>
          <w:i/>
          <w:iCs/>
          <w:color w:val="FF0000"/>
        </w:rPr>
      </w:pPr>
      <w:r>
        <w:rPr>
          <w:rFonts w:asciiTheme="minorHAnsi" w:hAnsiTheme="minorHAnsi" w:cs="Arial"/>
          <w:b/>
          <w:bCs/>
          <w:i/>
          <w:iCs/>
          <w:color w:val="FF0000"/>
          <w:sz w:val="32"/>
        </w:rPr>
        <w:t>15 – 19 marzo</w:t>
      </w:r>
    </w:p>
    <w:p w:rsidR="00BC2875" w:rsidRDefault="00BC2875">
      <w:pPr>
        <w:tabs>
          <w:tab w:val="left" w:pos="0"/>
          <w:tab w:val="left" w:pos="3360"/>
          <w:tab w:val="left" w:pos="13847"/>
        </w:tabs>
        <w:spacing w:line="276" w:lineRule="auto"/>
        <w:jc w:val="both"/>
        <w:rPr>
          <w:rFonts w:asciiTheme="minorHAnsi" w:hAnsiTheme="minorHAnsi" w:cstheme="minorHAnsi"/>
          <w:b/>
          <w:bCs/>
          <w:color w:val="454545"/>
        </w:rPr>
      </w:pPr>
    </w:p>
    <w:p w:rsidR="00AA4BEB" w:rsidRPr="00AA4BEB" w:rsidRDefault="00AA4BEB" w:rsidP="00AA4BEB">
      <w:pPr>
        <w:pStyle w:val="Default"/>
        <w:tabs>
          <w:tab w:val="left" w:pos="0"/>
        </w:tabs>
        <w:ind w:left="-142"/>
        <w:jc w:val="center"/>
        <w:rPr>
          <w:rFonts w:asciiTheme="minorHAnsi" w:hAnsiTheme="minorHAnsi" w:cstheme="minorHAnsi"/>
          <w:b/>
          <w:sz w:val="28"/>
          <w:szCs w:val="20"/>
        </w:rPr>
      </w:pPr>
      <w:bookmarkStart w:id="0" w:name="_GoBack"/>
      <w:bookmarkEnd w:id="0"/>
      <w:r w:rsidRPr="00AA4BEB">
        <w:rPr>
          <w:rFonts w:asciiTheme="minorHAnsi" w:hAnsiTheme="minorHAnsi" w:cstheme="minorHAnsi"/>
          <w:b/>
          <w:sz w:val="28"/>
          <w:szCs w:val="20"/>
        </w:rPr>
        <w:t>FOCUS 1</w:t>
      </w:r>
    </w:p>
    <w:p w:rsidR="00AA4BEB" w:rsidRPr="00AA4BEB" w:rsidRDefault="00AA4BEB" w:rsidP="00AA4BEB">
      <w:pPr>
        <w:pStyle w:val="Default"/>
        <w:tabs>
          <w:tab w:val="left" w:pos="0"/>
        </w:tabs>
        <w:ind w:left="-142"/>
        <w:jc w:val="center"/>
        <w:rPr>
          <w:rFonts w:asciiTheme="minorHAnsi" w:hAnsiTheme="minorHAnsi" w:cstheme="minorHAnsi"/>
          <w:b/>
          <w:sz w:val="28"/>
          <w:szCs w:val="20"/>
        </w:rPr>
      </w:pPr>
      <w:r w:rsidRPr="00AA4BEB">
        <w:rPr>
          <w:rFonts w:asciiTheme="minorHAnsi" w:hAnsiTheme="minorHAnsi" w:cstheme="minorHAnsi"/>
          <w:b/>
          <w:sz w:val="28"/>
          <w:szCs w:val="20"/>
        </w:rPr>
        <w:t>“TAX CREDIT”: DAL 2016 VALORE AGGIUNTO PER L’INDUSTRIA</w:t>
      </w:r>
    </w:p>
    <w:p w:rsidR="00AA4BEB" w:rsidRPr="00AA4BEB" w:rsidRDefault="00AA4BEB" w:rsidP="00AA4BEB">
      <w:pPr>
        <w:pStyle w:val="Default"/>
        <w:tabs>
          <w:tab w:val="left" w:pos="0"/>
        </w:tabs>
        <w:jc w:val="both"/>
        <w:rPr>
          <w:rFonts w:asciiTheme="minorHAnsi" w:hAnsiTheme="minorHAnsi" w:cstheme="minorHAnsi"/>
          <w:sz w:val="22"/>
          <w:szCs w:val="20"/>
        </w:rPr>
      </w:pPr>
    </w:p>
    <w:p w:rsidR="00AA4BEB" w:rsidRPr="00AA4BEB" w:rsidRDefault="00AA4BEB" w:rsidP="00AA4BEB">
      <w:pPr>
        <w:pStyle w:val="Default"/>
        <w:tabs>
          <w:tab w:val="left" w:pos="0"/>
        </w:tabs>
        <w:jc w:val="both"/>
        <w:rPr>
          <w:rFonts w:asciiTheme="minorHAnsi" w:hAnsiTheme="minorHAnsi" w:cstheme="minorHAnsi"/>
          <w:sz w:val="22"/>
          <w:szCs w:val="20"/>
        </w:rPr>
      </w:pPr>
    </w:p>
    <w:p w:rsidR="00AA4BEB" w:rsidRPr="00AA4BEB" w:rsidRDefault="00AA4BEB" w:rsidP="00AA4BEB">
      <w:pPr>
        <w:pStyle w:val="Default"/>
        <w:tabs>
          <w:tab w:val="left" w:pos="0"/>
        </w:tabs>
        <w:jc w:val="both"/>
        <w:rPr>
          <w:rFonts w:asciiTheme="minorHAnsi" w:hAnsiTheme="minorHAnsi" w:cstheme="minorHAnsi"/>
          <w:sz w:val="22"/>
          <w:szCs w:val="20"/>
        </w:rPr>
      </w:pPr>
      <w:r w:rsidRPr="00AA4BEB">
        <w:rPr>
          <w:rFonts w:asciiTheme="minorHAnsi" w:hAnsiTheme="minorHAnsi" w:cstheme="minorHAnsi"/>
          <w:sz w:val="22"/>
          <w:szCs w:val="20"/>
        </w:rPr>
        <w:t xml:space="preserve">Il </w:t>
      </w:r>
      <w:r w:rsidRPr="00AA4BEB">
        <w:rPr>
          <w:rFonts w:asciiTheme="minorHAnsi" w:hAnsiTheme="minorHAnsi" w:cstheme="minorHAnsi"/>
          <w:b/>
          <w:sz w:val="22"/>
          <w:szCs w:val="20"/>
        </w:rPr>
        <w:t>mercato del videogioco</w:t>
      </w:r>
      <w:r w:rsidRPr="00AA4BEB">
        <w:rPr>
          <w:rFonts w:asciiTheme="minorHAnsi" w:hAnsiTheme="minorHAnsi" w:cstheme="minorHAnsi"/>
          <w:sz w:val="22"/>
          <w:szCs w:val="20"/>
        </w:rPr>
        <w:t xml:space="preserve">, in </w:t>
      </w:r>
      <w:r w:rsidRPr="00AA4BEB">
        <w:rPr>
          <w:rFonts w:asciiTheme="minorHAnsi" w:hAnsiTheme="minorHAnsi" w:cstheme="minorHAnsi"/>
          <w:b/>
          <w:sz w:val="22"/>
          <w:szCs w:val="20"/>
        </w:rPr>
        <w:t>Italia</w:t>
      </w:r>
      <w:r w:rsidRPr="00AA4BEB">
        <w:rPr>
          <w:rFonts w:asciiTheme="minorHAnsi" w:hAnsiTheme="minorHAnsi" w:cstheme="minorHAnsi"/>
          <w:sz w:val="22"/>
          <w:szCs w:val="20"/>
        </w:rPr>
        <w:t xml:space="preserve">, è florido e </w:t>
      </w:r>
      <w:r w:rsidRPr="00AA4BEB">
        <w:rPr>
          <w:rFonts w:asciiTheme="minorHAnsi" w:hAnsiTheme="minorHAnsi" w:cstheme="minorHAnsi"/>
          <w:b/>
          <w:sz w:val="22"/>
          <w:szCs w:val="20"/>
        </w:rPr>
        <w:t>vale quasi 1 miliardo di euro</w:t>
      </w:r>
      <w:r w:rsidRPr="00AA4BEB">
        <w:rPr>
          <w:rFonts w:asciiTheme="minorHAnsi" w:hAnsiTheme="minorHAnsi" w:cstheme="minorHAnsi"/>
          <w:sz w:val="22"/>
          <w:szCs w:val="20"/>
        </w:rPr>
        <w:t xml:space="preserve"> (</w:t>
      </w:r>
      <w:r w:rsidRPr="00AA4BEB">
        <w:rPr>
          <w:rFonts w:asciiTheme="minorHAnsi" w:hAnsiTheme="minorHAnsi" w:cstheme="minorHAnsi"/>
          <w:b/>
          <w:sz w:val="22"/>
          <w:szCs w:val="20"/>
        </w:rPr>
        <w:t>+6,9% rispetto</w:t>
      </w:r>
      <w:r w:rsidRPr="00AA4BEB">
        <w:rPr>
          <w:rFonts w:asciiTheme="minorHAnsi" w:hAnsiTheme="minorHAnsi" w:cstheme="minorHAnsi"/>
          <w:b/>
          <w:color w:val="auto"/>
          <w:sz w:val="22"/>
          <w:szCs w:val="20"/>
        </w:rPr>
        <w:t xml:space="preserve"> al 2014</w:t>
      </w:r>
      <w:r w:rsidRPr="00AA4BEB">
        <w:rPr>
          <w:rFonts w:asciiTheme="minorHAnsi" w:hAnsiTheme="minorHAnsi" w:cstheme="minorHAnsi"/>
          <w:color w:val="auto"/>
          <w:sz w:val="22"/>
          <w:szCs w:val="20"/>
        </w:rPr>
        <w:t xml:space="preserve">) ma sul fronte della produzione dobbiamo ancora crescere Nel </w:t>
      </w:r>
      <w:r w:rsidRPr="00AA4BEB">
        <w:rPr>
          <w:rFonts w:asciiTheme="minorHAnsi" w:hAnsiTheme="minorHAnsi" w:cstheme="minorHAnsi"/>
          <w:sz w:val="22"/>
          <w:szCs w:val="20"/>
        </w:rPr>
        <w:t xml:space="preserve">nostro paese si contano </w:t>
      </w:r>
      <w:r w:rsidRPr="00AA4BEB">
        <w:rPr>
          <w:rFonts w:asciiTheme="minorHAnsi" w:hAnsiTheme="minorHAnsi" w:cstheme="minorHAnsi"/>
          <w:b/>
          <w:sz w:val="22"/>
          <w:szCs w:val="20"/>
        </w:rPr>
        <w:t>oltre 100 studi di sviluppo</w:t>
      </w:r>
      <w:r w:rsidRPr="00AA4BEB">
        <w:rPr>
          <w:rFonts w:asciiTheme="minorHAnsi" w:hAnsiTheme="minorHAnsi" w:cstheme="minorHAnsi"/>
          <w:sz w:val="22"/>
          <w:szCs w:val="20"/>
        </w:rPr>
        <w:t xml:space="preserve"> ma questi sono, nella maggior parte dei casi, ancora di piccole dimensioni e hanno fatturati piuttosto contenuti. Solo nell’11% dei casi troviamo aziende che vanno da 250mila euro a oltre 1 milione di euro di fatturato, il restante 15% dei casi oscilla tra i 100 e i 250mila euro. Insomma, siamo un paese che consuma molti videogiochi ma che ne produce ancora pochi, complice tra le altre cose la difficoltà per le imprese locali di reperire fondi. </w:t>
      </w:r>
      <w:r w:rsidRPr="00AA4BEB">
        <w:rPr>
          <w:rFonts w:asciiTheme="minorHAnsi" w:hAnsiTheme="minorHAnsi" w:cstheme="minorHAnsi"/>
          <w:bCs/>
          <w:sz w:val="22"/>
          <w:szCs w:val="20"/>
        </w:rPr>
        <w:t xml:space="preserve">Le aziende, infatti, operano soprattutto sulla base di autofinanziamenti (56%), con </w:t>
      </w:r>
      <w:r w:rsidRPr="00AA4BEB">
        <w:rPr>
          <w:rFonts w:asciiTheme="minorHAnsi" w:hAnsiTheme="minorHAnsi" w:cstheme="minorHAnsi"/>
          <w:sz w:val="22"/>
          <w:szCs w:val="20"/>
        </w:rPr>
        <w:t>supporto limitato di publisher (17%), private equity (8%) e finanziamenti da parte di istituzioni pubbliche e istituti di credito (3%). Proprio in questo contesto si inserisce il tema del supporto alla crescita del settore, che appare centrale per contribuire allo sviluppo di una realtà economica ormai rilevante per il Paese. (Dati Aesvi)</w:t>
      </w:r>
    </w:p>
    <w:p w:rsidR="00AA4BEB" w:rsidRPr="00AA4BEB" w:rsidRDefault="00AA4BEB" w:rsidP="00AA4BEB">
      <w:pPr>
        <w:pStyle w:val="Default"/>
        <w:tabs>
          <w:tab w:val="left" w:pos="0"/>
        </w:tabs>
        <w:jc w:val="both"/>
        <w:rPr>
          <w:rFonts w:asciiTheme="minorHAnsi" w:hAnsiTheme="minorHAnsi" w:cstheme="minorHAnsi"/>
          <w:sz w:val="22"/>
          <w:szCs w:val="20"/>
        </w:rPr>
      </w:pPr>
    </w:p>
    <w:p w:rsidR="00AA4BEB" w:rsidRPr="00AA4BEB" w:rsidRDefault="00AA4BEB" w:rsidP="00AA4BEB">
      <w:pPr>
        <w:pStyle w:val="Default"/>
        <w:tabs>
          <w:tab w:val="left" w:pos="0"/>
        </w:tabs>
        <w:jc w:val="both"/>
        <w:rPr>
          <w:rFonts w:asciiTheme="minorHAnsi" w:hAnsiTheme="minorHAnsi" w:cstheme="minorHAnsi"/>
          <w:sz w:val="22"/>
          <w:szCs w:val="20"/>
        </w:rPr>
      </w:pPr>
      <w:r w:rsidRPr="00AA4BEB">
        <w:rPr>
          <w:rFonts w:asciiTheme="minorHAnsi" w:hAnsiTheme="minorHAnsi" w:cstheme="minorHAnsi"/>
          <w:sz w:val="22"/>
          <w:szCs w:val="20"/>
        </w:rPr>
        <w:t xml:space="preserve">Le ampie potenzialità di crescita vengono confermate dai </w:t>
      </w:r>
      <w:r w:rsidRPr="00AA4BEB">
        <w:rPr>
          <w:rFonts w:asciiTheme="minorHAnsi" w:hAnsiTheme="minorHAnsi" w:cstheme="minorHAnsi"/>
          <w:b/>
          <w:sz w:val="22"/>
          <w:szCs w:val="20"/>
        </w:rPr>
        <w:t>trend di crescita mondiali del settore</w:t>
      </w:r>
      <w:r w:rsidRPr="00AA4BEB">
        <w:rPr>
          <w:rFonts w:asciiTheme="minorHAnsi" w:hAnsiTheme="minorHAnsi" w:cstheme="minorHAnsi"/>
          <w:sz w:val="22"/>
          <w:szCs w:val="20"/>
        </w:rPr>
        <w:t xml:space="preserve">, con un </w:t>
      </w:r>
      <w:r w:rsidRPr="00AA4BEB">
        <w:rPr>
          <w:rFonts w:asciiTheme="minorHAnsi" w:hAnsiTheme="minorHAnsi" w:cstheme="minorHAnsi"/>
          <w:b/>
          <w:sz w:val="22"/>
          <w:szCs w:val="20"/>
        </w:rPr>
        <w:t>mercato passato dai 91,8 miliardi di dollari di valore del 2015 ai 99 miliardi di dollari nel 2016</w:t>
      </w:r>
      <w:r w:rsidRPr="00AA4BEB">
        <w:rPr>
          <w:rFonts w:asciiTheme="minorHAnsi" w:hAnsiTheme="minorHAnsi" w:cstheme="minorHAnsi"/>
          <w:sz w:val="22"/>
          <w:szCs w:val="20"/>
        </w:rPr>
        <w:t xml:space="preserve"> (fonte NEWZOO 2016 Global Games Market per Regions with Year on Year Growth Rates). A livello europeo il primo mercato resta quello </w:t>
      </w:r>
      <w:r w:rsidRPr="00AA4BEB">
        <w:rPr>
          <w:rFonts w:asciiTheme="minorHAnsi" w:hAnsiTheme="minorHAnsi" w:cstheme="minorHAnsi"/>
          <w:b/>
          <w:sz w:val="22"/>
          <w:szCs w:val="20"/>
        </w:rPr>
        <w:t>UK</w:t>
      </w:r>
      <w:r w:rsidRPr="00AA4BEB">
        <w:rPr>
          <w:rFonts w:asciiTheme="minorHAnsi" w:hAnsiTheme="minorHAnsi" w:cstheme="minorHAnsi"/>
          <w:sz w:val="22"/>
          <w:szCs w:val="20"/>
        </w:rPr>
        <w:t xml:space="preserve"> che, sostenuto negli anni da importanti scelte politiche su agevolazioni fiscali e incentivi alle nuove imprese, vanta </w:t>
      </w:r>
      <w:r w:rsidRPr="00AA4BEB">
        <w:rPr>
          <w:rFonts w:asciiTheme="minorHAnsi" w:hAnsiTheme="minorHAnsi" w:cstheme="minorHAnsi"/>
          <w:b/>
          <w:sz w:val="22"/>
          <w:szCs w:val="20"/>
        </w:rPr>
        <w:t>4 miliardi di sterline di consumi</w:t>
      </w:r>
      <w:r w:rsidRPr="00AA4BEB">
        <w:rPr>
          <w:rFonts w:asciiTheme="minorHAnsi" w:hAnsiTheme="minorHAnsi" w:cstheme="minorHAnsi"/>
          <w:sz w:val="22"/>
          <w:szCs w:val="20"/>
        </w:rPr>
        <w:t xml:space="preserve"> (+55% tra 2011 e 2015), poco meno di </w:t>
      </w:r>
      <w:r w:rsidRPr="00AA4BEB">
        <w:rPr>
          <w:rFonts w:asciiTheme="minorHAnsi" w:hAnsiTheme="minorHAnsi" w:cstheme="minorHAnsi"/>
          <w:b/>
          <w:sz w:val="22"/>
          <w:szCs w:val="20"/>
        </w:rPr>
        <w:t>11mila occupati</w:t>
      </w:r>
      <w:r w:rsidRPr="00AA4BEB">
        <w:rPr>
          <w:rFonts w:asciiTheme="minorHAnsi" w:hAnsiTheme="minorHAnsi" w:cstheme="minorHAnsi"/>
          <w:sz w:val="22"/>
          <w:szCs w:val="20"/>
        </w:rPr>
        <w:t xml:space="preserve">, oltre </w:t>
      </w:r>
      <w:r w:rsidRPr="00AA4BEB">
        <w:rPr>
          <w:rFonts w:asciiTheme="minorHAnsi" w:hAnsiTheme="minorHAnsi" w:cstheme="minorHAnsi"/>
          <w:b/>
          <w:sz w:val="22"/>
          <w:szCs w:val="20"/>
        </w:rPr>
        <w:t xml:space="preserve">1900 imprese </w:t>
      </w:r>
      <w:r w:rsidRPr="00AA4BEB">
        <w:rPr>
          <w:rFonts w:asciiTheme="minorHAnsi" w:hAnsiTheme="minorHAnsi" w:cstheme="minorHAnsi"/>
          <w:sz w:val="22"/>
          <w:szCs w:val="20"/>
        </w:rPr>
        <w:t xml:space="preserve">(+44% nello stesso periodo). Dati che, se confrontati con quelli italiani del 2011-2015 (crescita dei consumi del +3% e del numero di imprese del +28%), evidenziano come – se adeguatamente sostenuto da scelte politiche e fiscali forti - il nostro settore potrebbe registrare un ulteriore impulso di crescita. </w:t>
      </w:r>
    </w:p>
    <w:p w:rsidR="00AA4BEB" w:rsidRPr="00AA4BEB" w:rsidRDefault="00AA4BEB" w:rsidP="00AA4BEB">
      <w:pPr>
        <w:pStyle w:val="Default"/>
        <w:tabs>
          <w:tab w:val="left" w:pos="0"/>
        </w:tabs>
        <w:jc w:val="both"/>
        <w:rPr>
          <w:rFonts w:asciiTheme="minorHAnsi" w:hAnsiTheme="minorHAnsi" w:cstheme="minorHAnsi"/>
          <w:sz w:val="22"/>
          <w:szCs w:val="20"/>
        </w:rPr>
      </w:pPr>
    </w:p>
    <w:p w:rsidR="00AA4BEB" w:rsidRPr="00AA4BEB" w:rsidRDefault="00AA4BEB" w:rsidP="00AA4BEB">
      <w:pPr>
        <w:pStyle w:val="Default"/>
        <w:tabs>
          <w:tab w:val="left" w:pos="0"/>
        </w:tabs>
        <w:jc w:val="both"/>
        <w:rPr>
          <w:rFonts w:asciiTheme="minorHAnsi" w:hAnsiTheme="minorHAnsi" w:cstheme="minorHAnsi"/>
          <w:b/>
          <w:sz w:val="22"/>
          <w:szCs w:val="20"/>
        </w:rPr>
      </w:pPr>
      <w:r w:rsidRPr="00AA4BEB">
        <w:rPr>
          <w:rFonts w:asciiTheme="minorHAnsi" w:hAnsiTheme="minorHAnsi" w:cstheme="minorHAnsi"/>
          <w:b/>
          <w:sz w:val="22"/>
          <w:szCs w:val="20"/>
        </w:rPr>
        <w:t>ITALIA PER TAX CREDIT, UK PER GAME FUND E SOSTEGNO A START-UP</w:t>
      </w:r>
    </w:p>
    <w:p w:rsidR="00AA4BEB" w:rsidRPr="00AA4BEB" w:rsidRDefault="00AA4BEB" w:rsidP="00AA4BEB">
      <w:pPr>
        <w:pStyle w:val="Default"/>
        <w:tabs>
          <w:tab w:val="left" w:pos="0"/>
        </w:tabs>
        <w:jc w:val="both"/>
        <w:rPr>
          <w:rFonts w:asciiTheme="minorHAnsi" w:hAnsiTheme="minorHAnsi" w:cstheme="minorHAnsi"/>
          <w:color w:val="auto"/>
          <w:sz w:val="22"/>
          <w:szCs w:val="20"/>
        </w:rPr>
      </w:pPr>
      <w:r w:rsidRPr="00AA4BEB">
        <w:rPr>
          <w:rFonts w:asciiTheme="minorHAnsi" w:hAnsiTheme="minorHAnsi" w:cstheme="minorHAnsi"/>
          <w:sz w:val="22"/>
          <w:szCs w:val="20"/>
        </w:rPr>
        <w:t xml:space="preserve">Di fronte a questo scenario è giusto chiedersi cosa si possa fare per sviluppare questo settore come hanno già fatto altri Paesi (Regno Unito, Francia o Polonia su tutti). La risposta, almeno in parte, può essere trovata in politiche fiscali molto diverse tra le varie realtà europee. </w:t>
      </w:r>
      <w:r w:rsidRPr="00AA4BEB">
        <w:rPr>
          <w:rFonts w:asciiTheme="minorHAnsi" w:hAnsiTheme="minorHAnsi" w:cstheme="minorHAnsi"/>
          <w:color w:val="auto"/>
          <w:sz w:val="22"/>
          <w:szCs w:val="20"/>
        </w:rPr>
        <w:t xml:space="preserve">In </w:t>
      </w:r>
      <w:r w:rsidRPr="00AA4BEB">
        <w:rPr>
          <w:rFonts w:asciiTheme="minorHAnsi" w:hAnsiTheme="minorHAnsi" w:cstheme="minorHAnsi"/>
          <w:b/>
          <w:bCs/>
          <w:color w:val="auto"/>
          <w:sz w:val="22"/>
          <w:szCs w:val="20"/>
        </w:rPr>
        <w:t xml:space="preserve">UK, </w:t>
      </w:r>
      <w:r w:rsidRPr="00AA4BEB">
        <w:rPr>
          <w:rFonts w:asciiTheme="minorHAnsi" w:hAnsiTheme="minorHAnsi" w:cstheme="minorHAnsi"/>
          <w:bCs/>
          <w:color w:val="auto"/>
          <w:sz w:val="22"/>
          <w:szCs w:val="20"/>
        </w:rPr>
        <w:t>ad esempio,</w:t>
      </w:r>
      <w:r w:rsidRPr="00AA4BEB">
        <w:rPr>
          <w:rFonts w:asciiTheme="minorHAnsi" w:hAnsiTheme="minorHAnsi" w:cstheme="minorHAnsi"/>
          <w:color w:val="auto"/>
          <w:sz w:val="22"/>
          <w:szCs w:val="20"/>
        </w:rPr>
        <w:t xml:space="preserve"> il governo ha esteso nel 2014 il “</w:t>
      </w:r>
      <w:r w:rsidRPr="00AA4BEB">
        <w:rPr>
          <w:rFonts w:asciiTheme="minorHAnsi" w:hAnsiTheme="minorHAnsi" w:cstheme="minorHAnsi"/>
          <w:b/>
          <w:bCs/>
          <w:color w:val="auto"/>
          <w:sz w:val="22"/>
          <w:szCs w:val="20"/>
        </w:rPr>
        <w:t>Tax Credit</w:t>
      </w:r>
      <w:r w:rsidRPr="00AA4BEB">
        <w:rPr>
          <w:rFonts w:asciiTheme="minorHAnsi" w:hAnsiTheme="minorHAnsi" w:cstheme="minorHAnsi"/>
          <w:bCs/>
          <w:color w:val="auto"/>
          <w:sz w:val="22"/>
          <w:szCs w:val="20"/>
        </w:rPr>
        <w:t>”</w:t>
      </w:r>
      <w:r w:rsidRPr="00AA4BEB">
        <w:rPr>
          <w:rFonts w:asciiTheme="minorHAnsi" w:hAnsiTheme="minorHAnsi" w:cstheme="minorHAnsi"/>
          <w:b/>
          <w:bCs/>
          <w:color w:val="auto"/>
          <w:sz w:val="22"/>
          <w:szCs w:val="20"/>
        </w:rPr>
        <w:t xml:space="preserve"> </w:t>
      </w:r>
      <w:r w:rsidRPr="00AA4BEB">
        <w:rPr>
          <w:rFonts w:asciiTheme="minorHAnsi" w:hAnsiTheme="minorHAnsi" w:cstheme="minorHAnsi"/>
          <w:color w:val="auto"/>
          <w:sz w:val="22"/>
          <w:szCs w:val="20"/>
        </w:rPr>
        <w:t>dal cinema anche al settore dei videogiochi, mentre nel 2015 ha istituito lo “</w:t>
      </w:r>
      <w:r w:rsidRPr="00AA4BEB">
        <w:rPr>
          <w:rFonts w:asciiTheme="minorHAnsi" w:hAnsiTheme="minorHAnsi" w:cstheme="minorHAnsi"/>
          <w:b/>
          <w:bCs/>
          <w:color w:val="auto"/>
          <w:sz w:val="22"/>
          <w:szCs w:val="20"/>
        </w:rPr>
        <w:t>UK Game Fund</w:t>
      </w:r>
      <w:r w:rsidRPr="00AA4BEB">
        <w:rPr>
          <w:rFonts w:asciiTheme="minorHAnsi" w:hAnsiTheme="minorHAnsi" w:cstheme="minorHAnsi"/>
          <w:bCs/>
          <w:color w:val="auto"/>
          <w:sz w:val="22"/>
          <w:szCs w:val="20"/>
        </w:rPr>
        <w:t>”,</w:t>
      </w:r>
      <w:r w:rsidRPr="00AA4BEB">
        <w:rPr>
          <w:rFonts w:asciiTheme="minorHAnsi" w:hAnsiTheme="minorHAnsi" w:cstheme="minorHAnsi"/>
          <w:b/>
          <w:bCs/>
          <w:color w:val="auto"/>
          <w:sz w:val="22"/>
          <w:szCs w:val="20"/>
        </w:rPr>
        <w:t xml:space="preserve"> </w:t>
      </w:r>
      <w:r w:rsidRPr="00AA4BEB">
        <w:rPr>
          <w:rFonts w:asciiTheme="minorHAnsi" w:hAnsiTheme="minorHAnsi" w:cstheme="minorHAnsi"/>
          <w:color w:val="auto"/>
          <w:sz w:val="22"/>
          <w:szCs w:val="20"/>
        </w:rPr>
        <w:t xml:space="preserve">che finanzia lo </w:t>
      </w:r>
      <w:r w:rsidRPr="00AA4BEB">
        <w:rPr>
          <w:rFonts w:asciiTheme="minorHAnsi" w:hAnsiTheme="minorHAnsi" w:cstheme="minorHAnsi"/>
          <w:b/>
          <w:bCs/>
          <w:color w:val="auto"/>
          <w:sz w:val="22"/>
          <w:szCs w:val="20"/>
        </w:rPr>
        <w:t>sviluppo di nuovi prototipi</w:t>
      </w:r>
      <w:r w:rsidRPr="00AA4BEB">
        <w:rPr>
          <w:rFonts w:asciiTheme="minorHAnsi" w:hAnsiTheme="minorHAnsi" w:cstheme="minorHAnsi"/>
          <w:color w:val="auto"/>
          <w:sz w:val="22"/>
          <w:szCs w:val="20"/>
        </w:rPr>
        <w:t xml:space="preserve"> - e quindi di nuove proprietà intellettuali originali - con l’obiettivo di </w:t>
      </w:r>
      <w:r w:rsidRPr="00AA4BEB">
        <w:rPr>
          <w:rFonts w:asciiTheme="minorHAnsi" w:hAnsiTheme="minorHAnsi" w:cstheme="minorHAnsi"/>
          <w:bCs/>
          <w:color w:val="auto"/>
          <w:sz w:val="22"/>
          <w:szCs w:val="20"/>
        </w:rPr>
        <w:t>supportare le imprese del settore nel diventare più innovative, più forti e più grandi</w:t>
      </w:r>
      <w:r w:rsidRPr="00AA4BEB">
        <w:rPr>
          <w:rFonts w:asciiTheme="minorHAnsi" w:hAnsiTheme="minorHAnsi" w:cstheme="minorHAnsi"/>
          <w:color w:val="auto"/>
          <w:sz w:val="22"/>
          <w:szCs w:val="20"/>
        </w:rPr>
        <w:t xml:space="preserve">. Nel giugno 2016, Boris Johnson, sindaco di Londra, ha annunciato un </w:t>
      </w:r>
      <w:r w:rsidRPr="00AA4BEB">
        <w:rPr>
          <w:rFonts w:asciiTheme="minorHAnsi" w:hAnsiTheme="minorHAnsi" w:cstheme="minorHAnsi"/>
          <w:b/>
          <w:bCs/>
          <w:color w:val="auto"/>
          <w:sz w:val="22"/>
          <w:szCs w:val="20"/>
        </w:rPr>
        <w:t xml:space="preserve">investimento di 1,6 milioni di euro a supporto della crescita del settore </w:t>
      </w:r>
      <w:r w:rsidRPr="00AA4BEB">
        <w:rPr>
          <w:rFonts w:asciiTheme="minorHAnsi" w:hAnsiTheme="minorHAnsi" w:cstheme="minorHAnsi"/>
          <w:b/>
          <w:bCs/>
          <w:i/>
          <w:iCs/>
          <w:color w:val="auto"/>
          <w:sz w:val="22"/>
          <w:szCs w:val="20"/>
        </w:rPr>
        <w:t>gaming</w:t>
      </w:r>
      <w:r w:rsidRPr="00AA4BEB">
        <w:rPr>
          <w:rFonts w:asciiTheme="minorHAnsi" w:hAnsiTheme="minorHAnsi" w:cstheme="minorHAnsi"/>
          <w:color w:val="auto"/>
          <w:sz w:val="22"/>
          <w:szCs w:val="20"/>
        </w:rPr>
        <w:t>, il cui primo passo sarà l’istituzione di un evento B2B su Londra. La volontà di assicurarsi il primato mondiale nello sviluppo di videogiochi passa, infine, per la creazione di un “</w:t>
      </w:r>
      <w:r w:rsidRPr="00AA4BEB">
        <w:rPr>
          <w:rFonts w:asciiTheme="minorHAnsi" w:hAnsiTheme="minorHAnsi" w:cstheme="minorHAnsi"/>
          <w:b/>
          <w:color w:val="auto"/>
          <w:sz w:val="22"/>
          <w:szCs w:val="20"/>
        </w:rPr>
        <w:t>Creative Content Fund</w:t>
      </w:r>
      <w:r w:rsidRPr="00AA4BEB">
        <w:rPr>
          <w:rFonts w:asciiTheme="minorHAnsi" w:hAnsiTheme="minorHAnsi" w:cstheme="minorHAnsi"/>
          <w:color w:val="auto"/>
          <w:sz w:val="22"/>
          <w:szCs w:val="20"/>
        </w:rPr>
        <w:t xml:space="preserve">”, allo studio del governo, finalizzato a valorizzare la componente creativa del settore videoludico indipendente. </w:t>
      </w:r>
    </w:p>
    <w:p w:rsidR="00AA4BEB" w:rsidRPr="00AA4BEB" w:rsidRDefault="00AA4BEB" w:rsidP="00AA4BEB">
      <w:pPr>
        <w:pStyle w:val="Default"/>
        <w:tabs>
          <w:tab w:val="left" w:pos="0"/>
        </w:tabs>
        <w:jc w:val="both"/>
        <w:rPr>
          <w:rFonts w:asciiTheme="minorHAnsi" w:hAnsiTheme="minorHAnsi" w:cstheme="minorHAnsi"/>
          <w:color w:val="auto"/>
          <w:sz w:val="22"/>
          <w:szCs w:val="20"/>
        </w:rPr>
      </w:pPr>
    </w:p>
    <w:p w:rsidR="00AA4BEB" w:rsidRPr="00AA4BEB" w:rsidRDefault="00AA4BEB" w:rsidP="00AA4BEB">
      <w:pPr>
        <w:pStyle w:val="Default"/>
        <w:tabs>
          <w:tab w:val="left" w:pos="0"/>
        </w:tabs>
        <w:jc w:val="both"/>
        <w:rPr>
          <w:rFonts w:asciiTheme="minorHAnsi" w:hAnsiTheme="minorHAnsi" w:cstheme="minorHAnsi"/>
          <w:color w:val="auto"/>
          <w:sz w:val="22"/>
          <w:szCs w:val="20"/>
        </w:rPr>
      </w:pPr>
      <w:r w:rsidRPr="00AA4BEB">
        <w:rPr>
          <w:rFonts w:asciiTheme="minorHAnsi" w:hAnsiTheme="minorHAnsi" w:cstheme="minorHAnsi"/>
          <w:color w:val="auto"/>
          <w:sz w:val="22"/>
          <w:szCs w:val="20"/>
        </w:rPr>
        <w:t xml:space="preserve">Nell’ultimo quinquennio anche in </w:t>
      </w:r>
      <w:r w:rsidRPr="00AA4BEB">
        <w:rPr>
          <w:rFonts w:asciiTheme="minorHAnsi" w:hAnsiTheme="minorHAnsi" w:cstheme="minorHAnsi"/>
          <w:b/>
          <w:bCs/>
          <w:color w:val="auto"/>
          <w:sz w:val="22"/>
          <w:szCs w:val="20"/>
        </w:rPr>
        <w:t xml:space="preserve">Francia </w:t>
      </w:r>
      <w:r w:rsidRPr="00AA4BEB">
        <w:rPr>
          <w:rFonts w:asciiTheme="minorHAnsi" w:hAnsiTheme="minorHAnsi" w:cstheme="minorHAnsi"/>
          <w:color w:val="auto"/>
          <w:sz w:val="22"/>
          <w:szCs w:val="20"/>
        </w:rPr>
        <w:t xml:space="preserve">l’azione combinata di interventi di </w:t>
      </w:r>
      <w:r w:rsidRPr="00AA4BEB">
        <w:rPr>
          <w:rFonts w:asciiTheme="minorHAnsi" w:hAnsiTheme="minorHAnsi" w:cstheme="minorHAnsi"/>
          <w:b/>
          <w:bCs/>
          <w:color w:val="auto"/>
          <w:sz w:val="22"/>
          <w:szCs w:val="20"/>
        </w:rPr>
        <w:t>finanziamento pubblico</w:t>
      </w:r>
      <w:r w:rsidRPr="00AA4BEB">
        <w:rPr>
          <w:rFonts w:asciiTheme="minorHAnsi" w:hAnsiTheme="minorHAnsi" w:cstheme="minorHAnsi"/>
          <w:color w:val="auto"/>
          <w:sz w:val="22"/>
          <w:szCs w:val="20"/>
        </w:rPr>
        <w:t xml:space="preserve">, </w:t>
      </w:r>
      <w:r w:rsidRPr="00AA4BEB">
        <w:rPr>
          <w:rFonts w:asciiTheme="minorHAnsi" w:hAnsiTheme="minorHAnsi" w:cstheme="minorHAnsi"/>
          <w:b/>
          <w:bCs/>
          <w:color w:val="auto"/>
          <w:sz w:val="22"/>
          <w:szCs w:val="20"/>
        </w:rPr>
        <w:t xml:space="preserve">normative legali </w:t>
      </w:r>
      <w:r w:rsidRPr="00AA4BEB">
        <w:rPr>
          <w:rFonts w:asciiTheme="minorHAnsi" w:hAnsiTheme="minorHAnsi" w:cstheme="minorHAnsi"/>
          <w:color w:val="auto"/>
          <w:sz w:val="22"/>
          <w:szCs w:val="20"/>
        </w:rPr>
        <w:t xml:space="preserve">e </w:t>
      </w:r>
      <w:r w:rsidRPr="00AA4BEB">
        <w:rPr>
          <w:rFonts w:asciiTheme="minorHAnsi" w:hAnsiTheme="minorHAnsi" w:cstheme="minorHAnsi"/>
          <w:b/>
          <w:bCs/>
          <w:color w:val="auto"/>
          <w:sz w:val="22"/>
          <w:szCs w:val="20"/>
        </w:rPr>
        <w:t xml:space="preserve">fiscali specifiche </w:t>
      </w:r>
      <w:r w:rsidRPr="00AA4BEB">
        <w:rPr>
          <w:rFonts w:asciiTheme="minorHAnsi" w:hAnsiTheme="minorHAnsi" w:cstheme="minorHAnsi"/>
          <w:color w:val="auto"/>
          <w:sz w:val="22"/>
          <w:szCs w:val="20"/>
        </w:rPr>
        <w:t xml:space="preserve">hanno favorito il consolidamento di una filiera di produzione di altissimo </w:t>
      </w:r>
      <w:r w:rsidRPr="00AA4BEB">
        <w:rPr>
          <w:rFonts w:asciiTheme="minorHAnsi" w:hAnsiTheme="minorHAnsi" w:cstheme="minorHAnsi"/>
          <w:color w:val="auto"/>
          <w:sz w:val="22"/>
          <w:szCs w:val="20"/>
        </w:rPr>
        <w:lastRenderedPageBreak/>
        <w:t xml:space="preserve">livello. Il </w:t>
      </w:r>
      <w:r w:rsidRPr="00AA4BEB">
        <w:rPr>
          <w:rFonts w:asciiTheme="minorHAnsi" w:hAnsiTheme="minorHAnsi" w:cstheme="minorHAnsi"/>
          <w:b/>
          <w:bCs/>
          <w:color w:val="auto"/>
          <w:sz w:val="22"/>
          <w:szCs w:val="20"/>
        </w:rPr>
        <w:t>Crédit Impôt Recherche Jeux Video</w:t>
      </w:r>
      <w:r w:rsidRPr="00AA4BEB">
        <w:rPr>
          <w:rFonts w:asciiTheme="minorHAnsi" w:hAnsiTheme="minorHAnsi" w:cstheme="minorHAnsi"/>
          <w:color w:val="auto"/>
          <w:sz w:val="22"/>
          <w:szCs w:val="20"/>
        </w:rPr>
        <w:t xml:space="preserve">, creato nel 2007 e riformato tra 2013 e 2015, sostiene gli sforzi produttivi nel campo dei videogiochi puntando sulla realizzazione artistica e tecnica dei prodotti videoludici e ponendo quale requisito la qualità, la componente artistica, l’innovatività dell’idea progettuale. Parallelamente, il </w:t>
      </w:r>
      <w:r w:rsidRPr="00AA4BEB">
        <w:rPr>
          <w:rFonts w:asciiTheme="minorHAnsi" w:hAnsiTheme="minorHAnsi" w:cstheme="minorHAnsi"/>
          <w:b/>
          <w:bCs/>
          <w:color w:val="auto"/>
          <w:sz w:val="22"/>
          <w:szCs w:val="20"/>
        </w:rPr>
        <w:t xml:space="preserve">Fonds d'aide au jeu vidéo – FAJV </w:t>
      </w:r>
      <w:r w:rsidRPr="00AA4BEB">
        <w:rPr>
          <w:rFonts w:asciiTheme="minorHAnsi" w:hAnsiTheme="minorHAnsi" w:cstheme="minorHAnsi"/>
          <w:color w:val="auto"/>
          <w:sz w:val="22"/>
          <w:szCs w:val="20"/>
        </w:rPr>
        <w:t xml:space="preserve">sostiene lo sviluppo di prototipi. L’intervento pubblico si è rivelato fondamentale anche ai fini della sistematizzazione del processo di creazione di nuove imprese e della nuova occupazione offrendo ai creativi e agli operatori economici del settore un luogo dove far nascere e crescere il proprio business: i centri competitivi Cap Digital e Imaginove hanno permesso al settore di organizzarsi e di mettere in relazione l’industria dei videogiochi con il resto del settore digitale e multimediale. </w:t>
      </w:r>
    </w:p>
    <w:p w:rsidR="00AA4BEB" w:rsidRPr="00AA4BEB" w:rsidRDefault="00AA4BEB" w:rsidP="00AA4BEB">
      <w:pPr>
        <w:pStyle w:val="Default"/>
        <w:tabs>
          <w:tab w:val="left" w:pos="0"/>
        </w:tabs>
        <w:jc w:val="both"/>
        <w:rPr>
          <w:rFonts w:asciiTheme="minorHAnsi" w:hAnsiTheme="minorHAnsi" w:cstheme="minorHAnsi"/>
          <w:sz w:val="22"/>
          <w:szCs w:val="20"/>
        </w:rPr>
      </w:pPr>
    </w:p>
    <w:p w:rsidR="00AA4BEB" w:rsidRPr="00AA4BEB" w:rsidRDefault="00AA4BEB" w:rsidP="00AA4BEB">
      <w:pPr>
        <w:pStyle w:val="Default"/>
        <w:tabs>
          <w:tab w:val="left" w:pos="0"/>
        </w:tabs>
        <w:jc w:val="both"/>
        <w:rPr>
          <w:rFonts w:asciiTheme="minorHAnsi" w:hAnsiTheme="minorHAnsi" w:cstheme="minorHAnsi"/>
          <w:sz w:val="22"/>
          <w:szCs w:val="20"/>
        </w:rPr>
      </w:pPr>
      <w:r w:rsidRPr="00AA4BEB">
        <w:rPr>
          <w:rFonts w:asciiTheme="minorHAnsi" w:hAnsiTheme="minorHAnsi" w:cstheme="minorHAnsi"/>
          <w:sz w:val="22"/>
          <w:szCs w:val="20"/>
        </w:rPr>
        <w:t xml:space="preserve">In </w:t>
      </w:r>
      <w:r w:rsidRPr="00AA4BEB">
        <w:rPr>
          <w:rFonts w:asciiTheme="minorHAnsi" w:hAnsiTheme="minorHAnsi" w:cstheme="minorHAnsi"/>
          <w:b/>
          <w:sz w:val="22"/>
          <w:szCs w:val="20"/>
        </w:rPr>
        <w:t>Polonia</w:t>
      </w:r>
      <w:r w:rsidRPr="00AA4BEB">
        <w:rPr>
          <w:rFonts w:asciiTheme="minorHAnsi" w:hAnsiTheme="minorHAnsi" w:cstheme="minorHAnsi"/>
          <w:sz w:val="22"/>
          <w:szCs w:val="20"/>
        </w:rPr>
        <w:t xml:space="preserve"> il mercato del videogame vale 408 milioni di dollari (dati 2015, +4,7% rispetto al 2014) e si prevede che crescerà al 2018 del +5,4%. Oggi conta su circa 150-300 studi di sviluppo indipendenti e il ministero competente ha investito un budget di 20 milioni di euro in quello che ha chiamato “</w:t>
      </w:r>
      <w:r w:rsidRPr="00AA4BEB">
        <w:rPr>
          <w:rFonts w:asciiTheme="minorHAnsi" w:hAnsiTheme="minorHAnsi" w:cstheme="minorHAnsi"/>
          <w:b/>
          <w:sz w:val="22"/>
          <w:szCs w:val="20"/>
        </w:rPr>
        <w:t>GameINN</w:t>
      </w:r>
      <w:r w:rsidRPr="00AA4BEB">
        <w:rPr>
          <w:rFonts w:asciiTheme="minorHAnsi" w:hAnsiTheme="minorHAnsi" w:cstheme="minorHAnsi"/>
          <w:sz w:val="22"/>
          <w:szCs w:val="20"/>
        </w:rPr>
        <w:t>”, programma finalizzato a sostenere le aziende che sviluppano videogiochi (sono contributi a fondo perduto che vanno a coprire dal 40 all'80% dei costi complessivi dell'operazione di finanziamento del videogioco), mentre col programma “</w:t>
      </w:r>
      <w:r w:rsidRPr="00AA4BEB">
        <w:rPr>
          <w:rFonts w:asciiTheme="minorHAnsi" w:hAnsiTheme="minorHAnsi" w:cstheme="minorHAnsi"/>
          <w:b/>
          <w:sz w:val="22"/>
          <w:szCs w:val="20"/>
        </w:rPr>
        <w:t>ARP Games</w:t>
      </w:r>
      <w:r w:rsidRPr="00AA4BEB">
        <w:rPr>
          <w:rFonts w:asciiTheme="minorHAnsi" w:hAnsiTheme="minorHAnsi" w:cstheme="minorHAnsi"/>
          <w:sz w:val="22"/>
          <w:szCs w:val="20"/>
        </w:rPr>
        <w:t>” punta alla crescita delle start-up e a sostenere chi investe in questo ambito. Il risultato? Nel 2016 lo studio polacco CD Projekt RED ha lanciato il gioco “The Witcher 3” premiato in tutto il mondo come il miglior gioco dell’anno e che a luglio 2016, in poco più di un anno, aveva venduto 10 milioni di copie.</w:t>
      </w:r>
    </w:p>
    <w:p w:rsidR="00AA4BEB" w:rsidRPr="00AA4BEB" w:rsidRDefault="00AA4BEB" w:rsidP="00AA4BEB">
      <w:pPr>
        <w:pStyle w:val="Default"/>
        <w:tabs>
          <w:tab w:val="left" w:pos="0"/>
        </w:tabs>
        <w:jc w:val="both"/>
        <w:rPr>
          <w:rFonts w:asciiTheme="minorHAnsi" w:hAnsiTheme="minorHAnsi" w:cstheme="minorHAnsi"/>
          <w:sz w:val="22"/>
          <w:szCs w:val="20"/>
        </w:rPr>
      </w:pPr>
    </w:p>
    <w:p w:rsidR="00AA4BEB" w:rsidRPr="00AA4BEB" w:rsidRDefault="00AA4BEB" w:rsidP="00AA4BEB">
      <w:pPr>
        <w:pStyle w:val="Default"/>
        <w:tabs>
          <w:tab w:val="left" w:pos="0"/>
        </w:tabs>
        <w:jc w:val="both"/>
        <w:rPr>
          <w:rFonts w:asciiTheme="minorHAnsi" w:hAnsiTheme="minorHAnsi" w:cstheme="minorHAnsi"/>
          <w:color w:val="auto"/>
          <w:sz w:val="22"/>
          <w:szCs w:val="20"/>
        </w:rPr>
      </w:pPr>
      <w:r w:rsidRPr="00AA4BEB">
        <w:rPr>
          <w:rFonts w:asciiTheme="minorHAnsi" w:hAnsiTheme="minorHAnsi" w:cstheme="minorHAnsi"/>
          <w:sz w:val="22"/>
          <w:szCs w:val="20"/>
        </w:rPr>
        <w:t xml:space="preserve">In </w:t>
      </w:r>
      <w:r w:rsidRPr="00AA4BEB">
        <w:rPr>
          <w:rFonts w:asciiTheme="minorHAnsi" w:hAnsiTheme="minorHAnsi" w:cstheme="minorHAnsi"/>
          <w:b/>
          <w:sz w:val="22"/>
          <w:szCs w:val="20"/>
        </w:rPr>
        <w:t>Italia</w:t>
      </w:r>
      <w:r w:rsidRPr="00AA4BEB">
        <w:rPr>
          <w:rFonts w:asciiTheme="minorHAnsi" w:hAnsiTheme="minorHAnsi" w:cstheme="minorHAnsi"/>
          <w:sz w:val="22"/>
          <w:szCs w:val="20"/>
        </w:rPr>
        <w:t>, invece, è del 2016 l’introduzione del “</w:t>
      </w:r>
      <w:r w:rsidRPr="00AA4BEB">
        <w:rPr>
          <w:rFonts w:asciiTheme="minorHAnsi" w:hAnsiTheme="minorHAnsi" w:cstheme="minorHAnsi"/>
          <w:b/>
          <w:sz w:val="22"/>
          <w:szCs w:val="20"/>
        </w:rPr>
        <w:t>Tax Credit</w:t>
      </w:r>
      <w:r w:rsidRPr="00AA4BEB">
        <w:rPr>
          <w:rFonts w:asciiTheme="minorHAnsi" w:hAnsiTheme="minorHAnsi" w:cstheme="minorHAnsi"/>
          <w:sz w:val="22"/>
          <w:szCs w:val="20"/>
        </w:rPr>
        <w:t>” per le opere multimediali nell’ambito della nuova legge sull’audiovisivo, che dovrebbe contribuire nei prossimi anni allo sviluppo ulteriore del settore</w:t>
      </w:r>
      <w:r w:rsidRPr="00AA4BEB">
        <w:rPr>
          <w:rFonts w:asciiTheme="minorHAnsi" w:hAnsiTheme="minorHAnsi" w:cstheme="minorHAnsi"/>
          <w:color w:val="auto"/>
          <w:sz w:val="22"/>
          <w:szCs w:val="20"/>
        </w:rPr>
        <w:t xml:space="preserve">, offrendo la possibilità di compensare debiti fiscali (Ires, Irap, Irpef, Iva, contributi previdenziali e assicurativi) con il credito maturato a seguito di un investimento nel settore. Sicuramente, le prospettive economiche e finanziarie internazionali potrebbero aprire </w:t>
      </w:r>
      <w:r w:rsidRPr="00AA4BEB">
        <w:rPr>
          <w:rFonts w:asciiTheme="minorHAnsi" w:hAnsiTheme="minorHAnsi" w:cstheme="minorHAnsi"/>
          <w:b/>
          <w:bCs/>
          <w:color w:val="auto"/>
          <w:sz w:val="22"/>
          <w:szCs w:val="20"/>
        </w:rPr>
        <w:t>nuove e inattese possibilità di attrazione degli investimenti e dei talenti anche per l’Italia e questo si spera possa spingere le istituzioni a proseguire su questa strada a supporto del settore videoludico</w:t>
      </w:r>
      <w:r w:rsidRPr="00AA4BEB">
        <w:rPr>
          <w:rFonts w:asciiTheme="minorHAnsi" w:hAnsiTheme="minorHAnsi" w:cstheme="minorHAnsi"/>
          <w:color w:val="auto"/>
          <w:sz w:val="22"/>
          <w:szCs w:val="20"/>
        </w:rPr>
        <w:t xml:space="preserve">. </w:t>
      </w:r>
    </w:p>
    <w:p w:rsidR="00AA4BEB" w:rsidRPr="00AA4BEB" w:rsidRDefault="00AA4BEB" w:rsidP="00AA4BEB">
      <w:pPr>
        <w:pStyle w:val="Default"/>
        <w:tabs>
          <w:tab w:val="left" w:pos="0"/>
        </w:tabs>
        <w:jc w:val="both"/>
        <w:rPr>
          <w:rFonts w:asciiTheme="minorHAnsi" w:hAnsiTheme="minorHAnsi" w:cstheme="minorHAnsi"/>
          <w:color w:val="auto"/>
          <w:sz w:val="22"/>
          <w:szCs w:val="20"/>
        </w:rPr>
      </w:pPr>
    </w:p>
    <w:p w:rsidR="00AA4BEB" w:rsidRPr="00AA4BEB" w:rsidRDefault="00AA4BEB" w:rsidP="00AA4BEB">
      <w:pPr>
        <w:pStyle w:val="Default"/>
        <w:tabs>
          <w:tab w:val="left" w:pos="0"/>
        </w:tabs>
        <w:jc w:val="both"/>
        <w:rPr>
          <w:rFonts w:asciiTheme="minorHAnsi" w:hAnsiTheme="minorHAnsi" w:cstheme="minorHAnsi"/>
          <w:color w:val="auto"/>
          <w:sz w:val="22"/>
          <w:szCs w:val="20"/>
        </w:rPr>
      </w:pPr>
    </w:p>
    <w:p w:rsidR="00AA4BEB" w:rsidRPr="00AA4BEB" w:rsidRDefault="00AA4BEB" w:rsidP="00AA4BEB">
      <w:pPr>
        <w:pStyle w:val="Default"/>
        <w:tabs>
          <w:tab w:val="left" w:pos="0"/>
        </w:tabs>
        <w:jc w:val="both"/>
        <w:rPr>
          <w:rFonts w:asciiTheme="minorHAnsi" w:hAnsiTheme="minorHAnsi" w:cstheme="minorHAnsi"/>
          <w:color w:val="auto"/>
          <w:sz w:val="22"/>
          <w:szCs w:val="20"/>
        </w:rPr>
      </w:pPr>
    </w:p>
    <w:p w:rsidR="00AA4BEB" w:rsidRPr="00AA4BEB" w:rsidRDefault="00AA4BEB" w:rsidP="00AA4BEB">
      <w:pPr>
        <w:pStyle w:val="Default"/>
        <w:tabs>
          <w:tab w:val="left" w:pos="0"/>
        </w:tabs>
        <w:jc w:val="both"/>
        <w:rPr>
          <w:rFonts w:asciiTheme="minorHAnsi" w:hAnsiTheme="minorHAnsi" w:cstheme="minorHAnsi"/>
          <w:color w:val="auto"/>
          <w:sz w:val="22"/>
          <w:szCs w:val="20"/>
        </w:rPr>
      </w:pPr>
    </w:p>
    <w:p w:rsidR="00AA4BEB" w:rsidRPr="00AA4BEB" w:rsidRDefault="00AA4BEB" w:rsidP="00AA4BEB">
      <w:pPr>
        <w:pStyle w:val="Default"/>
        <w:tabs>
          <w:tab w:val="left" w:pos="0"/>
        </w:tabs>
        <w:jc w:val="both"/>
        <w:rPr>
          <w:rFonts w:asciiTheme="minorHAnsi" w:hAnsiTheme="minorHAnsi" w:cstheme="minorHAnsi"/>
          <w:color w:val="auto"/>
          <w:sz w:val="22"/>
          <w:szCs w:val="20"/>
        </w:rPr>
      </w:pPr>
    </w:p>
    <w:p w:rsidR="00AA4BEB" w:rsidRPr="00AA4BEB" w:rsidRDefault="00AA4BEB" w:rsidP="00AA4BEB">
      <w:pPr>
        <w:pStyle w:val="Default"/>
        <w:tabs>
          <w:tab w:val="left" w:pos="0"/>
        </w:tabs>
        <w:jc w:val="both"/>
        <w:rPr>
          <w:rFonts w:asciiTheme="minorHAnsi" w:hAnsiTheme="minorHAnsi" w:cstheme="minorHAnsi"/>
          <w:color w:val="auto"/>
          <w:sz w:val="22"/>
          <w:szCs w:val="20"/>
        </w:rPr>
      </w:pPr>
    </w:p>
    <w:p w:rsidR="00AA4BEB" w:rsidRPr="00AA4BEB" w:rsidRDefault="00AA4BEB" w:rsidP="00AA4BEB">
      <w:pPr>
        <w:pStyle w:val="Default"/>
        <w:tabs>
          <w:tab w:val="left" w:pos="0"/>
        </w:tabs>
        <w:jc w:val="both"/>
        <w:rPr>
          <w:rFonts w:asciiTheme="minorHAnsi" w:hAnsiTheme="minorHAnsi" w:cstheme="minorHAnsi"/>
          <w:color w:val="auto"/>
          <w:sz w:val="22"/>
          <w:szCs w:val="20"/>
        </w:rPr>
      </w:pPr>
    </w:p>
    <w:p w:rsidR="00AA4BEB" w:rsidRPr="00AA4BEB" w:rsidRDefault="00AA4BEB" w:rsidP="00AA4BEB">
      <w:pPr>
        <w:pStyle w:val="Default"/>
        <w:tabs>
          <w:tab w:val="left" w:pos="0"/>
        </w:tabs>
        <w:jc w:val="both"/>
        <w:rPr>
          <w:rFonts w:asciiTheme="minorHAnsi" w:hAnsiTheme="minorHAnsi" w:cstheme="minorHAnsi"/>
          <w:color w:val="auto"/>
          <w:sz w:val="22"/>
          <w:szCs w:val="20"/>
        </w:rPr>
      </w:pPr>
    </w:p>
    <w:p w:rsidR="00AA4BEB" w:rsidRPr="00AA4BEB" w:rsidRDefault="00AA4BEB" w:rsidP="00AA4BEB">
      <w:pPr>
        <w:pStyle w:val="Default"/>
        <w:tabs>
          <w:tab w:val="left" w:pos="0"/>
        </w:tabs>
        <w:jc w:val="both"/>
        <w:rPr>
          <w:rFonts w:asciiTheme="minorHAnsi" w:hAnsiTheme="minorHAnsi" w:cstheme="minorHAnsi"/>
          <w:color w:val="auto"/>
          <w:sz w:val="22"/>
          <w:szCs w:val="20"/>
        </w:rPr>
      </w:pPr>
    </w:p>
    <w:p w:rsidR="00AA4BEB" w:rsidRPr="00AA4BEB" w:rsidRDefault="00AA4BEB" w:rsidP="00AA4BEB">
      <w:pPr>
        <w:pStyle w:val="Default"/>
        <w:tabs>
          <w:tab w:val="left" w:pos="0"/>
        </w:tabs>
        <w:jc w:val="both"/>
        <w:rPr>
          <w:rFonts w:asciiTheme="minorHAnsi" w:hAnsiTheme="minorHAnsi" w:cstheme="minorHAnsi"/>
          <w:color w:val="auto"/>
          <w:sz w:val="22"/>
          <w:szCs w:val="20"/>
        </w:rPr>
      </w:pPr>
    </w:p>
    <w:p w:rsidR="00AA4BEB" w:rsidRPr="00AA4BEB" w:rsidRDefault="00AA4BEB" w:rsidP="00AA4BEB">
      <w:pPr>
        <w:pStyle w:val="Default"/>
        <w:tabs>
          <w:tab w:val="left" w:pos="0"/>
        </w:tabs>
        <w:jc w:val="both"/>
        <w:rPr>
          <w:rFonts w:asciiTheme="minorHAnsi" w:hAnsiTheme="minorHAnsi" w:cstheme="minorHAnsi"/>
          <w:color w:val="auto"/>
          <w:sz w:val="22"/>
          <w:szCs w:val="20"/>
        </w:rPr>
      </w:pPr>
    </w:p>
    <w:p w:rsidR="00AA4BEB" w:rsidRPr="00AA4BEB" w:rsidRDefault="00AA4BEB" w:rsidP="00AA4BEB">
      <w:pPr>
        <w:pStyle w:val="Default"/>
        <w:tabs>
          <w:tab w:val="left" w:pos="0"/>
        </w:tabs>
        <w:jc w:val="both"/>
        <w:rPr>
          <w:rFonts w:asciiTheme="minorHAnsi" w:hAnsiTheme="minorHAnsi" w:cstheme="minorHAnsi"/>
          <w:color w:val="auto"/>
          <w:sz w:val="22"/>
          <w:szCs w:val="20"/>
        </w:rPr>
      </w:pPr>
    </w:p>
    <w:p w:rsidR="00AA4BEB" w:rsidRPr="00AA4BEB" w:rsidRDefault="00AA4BEB" w:rsidP="00AA4BEB">
      <w:pPr>
        <w:pStyle w:val="Default"/>
        <w:tabs>
          <w:tab w:val="left" w:pos="0"/>
        </w:tabs>
        <w:jc w:val="both"/>
        <w:rPr>
          <w:rFonts w:asciiTheme="minorHAnsi" w:hAnsiTheme="minorHAnsi" w:cstheme="minorHAnsi"/>
          <w:color w:val="auto"/>
          <w:sz w:val="22"/>
          <w:szCs w:val="20"/>
        </w:rPr>
      </w:pPr>
    </w:p>
    <w:p w:rsidR="00AA4BEB" w:rsidRPr="00AA4BEB" w:rsidRDefault="00AA4BEB" w:rsidP="00AA4BEB">
      <w:pPr>
        <w:pStyle w:val="Default"/>
        <w:tabs>
          <w:tab w:val="left" w:pos="0"/>
        </w:tabs>
        <w:jc w:val="both"/>
        <w:rPr>
          <w:rFonts w:asciiTheme="minorHAnsi" w:hAnsiTheme="minorHAnsi" w:cstheme="minorHAnsi"/>
          <w:color w:val="auto"/>
          <w:sz w:val="22"/>
          <w:szCs w:val="20"/>
        </w:rPr>
      </w:pPr>
    </w:p>
    <w:p w:rsidR="00AA4BEB" w:rsidRPr="00AA4BEB" w:rsidRDefault="00AA4BEB" w:rsidP="00AA4BEB">
      <w:pPr>
        <w:pStyle w:val="Default"/>
        <w:tabs>
          <w:tab w:val="left" w:pos="0"/>
        </w:tabs>
        <w:jc w:val="both"/>
        <w:rPr>
          <w:rFonts w:asciiTheme="minorHAnsi" w:hAnsiTheme="minorHAnsi" w:cstheme="minorHAnsi"/>
          <w:color w:val="auto"/>
          <w:sz w:val="18"/>
          <w:szCs w:val="20"/>
        </w:rPr>
      </w:pPr>
    </w:p>
    <w:p w:rsidR="00AA4BEB" w:rsidRPr="00AA4BEB" w:rsidRDefault="00AA4BEB" w:rsidP="00AA4BEB">
      <w:pPr>
        <w:pStyle w:val="Default"/>
        <w:tabs>
          <w:tab w:val="left" w:pos="0"/>
        </w:tabs>
        <w:jc w:val="both"/>
        <w:rPr>
          <w:rFonts w:asciiTheme="minorHAnsi" w:hAnsiTheme="minorHAnsi" w:cstheme="minorHAnsi"/>
          <w:color w:val="auto"/>
          <w:sz w:val="18"/>
          <w:szCs w:val="20"/>
        </w:rPr>
      </w:pPr>
    </w:p>
    <w:p w:rsidR="00AA4BEB" w:rsidRPr="00AA4BEB" w:rsidRDefault="00AA4BEB" w:rsidP="00AA4BEB">
      <w:pPr>
        <w:pStyle w:val="Default"/>
        <w:tabs>
          <w:tab w:val="left" w:pos="0"/>
        </w:tabs>
        <w:jc w:val="both"/>
        <w:rPr>
          <w:rFonts w:asciiTheme="minorHAnsi" w:hAnsiTheme="minorHAnsi" w:cstheme="minorHAnsi"/>
          <w:color w:val="auto"/>
          <w:sz w:val="18"/>
          <w:szCs w:val="20"/>
        </w:rPr>
      </w:pPr>
    </w:p>
    <w:p w:rsidR="00AA4BEB" w:rsidRPr="00AA4BEB" w:rsidRDefault="00AA4BEB" w:rsidP="00AA4BEB">
      <w:pPr>
        <w:tabs>
          <w:tab w:val="left" w:pos="0"/>
        </w:tabs>
        <w:rPr>
          <w:rFonts w:asciiTheme="minorHAnsi" w:hAnsiTheme="minorHAnsi" w:cstheme="minorHAnsi"/>
          <w:sz w:val="22"/>
        </w:rPr>
      </w:pPr>
      <w:r w:rsidRPr="00AA4BEB">
        <w:rPr>
          <w:rFonts w:asciiTheme="minorHAnsi" w:hAnsiTheme="minorHAnsi" w:cstheme="minorHAnsi"/>
          <w:sz w:val="22"/>
        </w:rPr>
        <w:t xml:space="preserve">Ulteriori approfondimenti sono disponibili sul sito: </w:t>
      </w:r>
      <w:hyperlink r:id="rId6" w:history="1">
        <w:r w:rsidRPr="00AA4BEB">
          <w:rPr>
            <w:rStyle w:val="Collegamentoipertestuale"/>
            <w:rFonts w:asciiTheme="minorHAnsi" w:hAnsiTheme="minorHAnsi" w:cstheme="minorHAnsi"/>
            <w:sz w:val="22"/>
          </w:rPr>
          <w:t>http://www.letsplay.net/IT</w:t>
        </w:r>
      </w:hyperlink>
      <w:r w:rsidRPr="00AA4BEB">
        <w:rPr>
          <w:rFonts w:asciiTheme="minorHAnsi" w:hAnsiTheme="minorHAnsi" w:cstheme="minorHAnsi"/>
          <w:sz w:val="22"/>
        </w:rPr>
        <w:t xml:space="preserve"> </w:t>
      </w:r>
    </w:p>
    <w:p w:rsidR="00AA4BEB" w:rsidRPr="00AA4BEB" w:rsidRDefault="00AA4BEB" w:rsidP="00AA4BEB">
      <w:pPr>
        <w:tabs>
          <w:tab w:val="left" w:pos="0"/>
        </w:tabs>
        <w:rPr>
          <w:rFonts w:asciiTheme="minorHAnsi" w:hAnsiTheme="minorHAnsi" w:cstheme="minorHAnsi"/>
          <w:sz w:val="22"/>
        </w:rPr>
      </w:pPr>
    </w:p>
    <w:p w:rsidR="00AA4BEB" w:rsidRPr="00AA4BEB" w:rsidRDefault="00AA4BEB" w:rsidP="00AA4BEB">
      <w:pPr>
        <w:tabs>
          <w:tab w:val="left" w:pos="0"/>
        </w:tabs>
        <w:rPr>
          <w:rFonts w:asciiTheme="minorHAnsi" w:hAnsiTheme="minorHAnsi" w:cstheme="minorHAnsi"/>
          <w:sz w:val="22"/>
        </w:rPr>
      </w:pPr>
      <w:r w:rsidRPr="00AA4BEB">
        <w:rPr>
          <w:rFonts w:asciiTheme="minorHAnsi" w:hAnsiTheme="minorHAnsi" w:cstheme="minorHAnsi"/>
          <w:sz w:val="22"/>
        </w:rPr>
        <w:t>Questi i canali social di Let’s Play:</w:t>
      </w:r>
    </w:p>
    <w:p w:rsidR="00AA4BEB" w:rsidRPr="00AA4BEB" w:rsidRDefault="009E7EA6" w:rsidP="00AA4BEB">
      <w:pPr>
        <w:tabs>
          <w:tab w:val="left" w:pos="0"/>
        </w:tabs>
        <w:rPr>
          <w:rFonts w:asciiTheme="minorHAnsi" w:hAnsiTheme="minorHAnsi" w:cstheme="minorHAnsi"/>
          <w:color w:val="1F497D"/>
          <w:sz w:val="22"/>
        </w:rPr>
      </w:pPr>
      <w:hyperlink r:id="rId7" w:history="1">
        <w:r w:rsidR="00AA4BEB" w:rsidRPr="00AA4BEB">
          <w:rPr>
            <w:rStyle w:val="Collegamentoipertestuale"/>
            <w:rFonts w:asciiTheme="minorHAnsi" w:hAnsiTheme="minorHAnsi" w:cstheme="minorHAnsi"/>
            <w:sz w:val="22"/>
          </w:rPr>
          <w:t>https://www.facebook.com/LetsPlayRoma/?fref=ts</w:t>
        </w:r>
      </w:hyperlink>
    </w:p>
    <w:p w:rsidR="00AA4BEB" w:rsidRPr="00AA4BEB" w:rsidRDefault="009E7EA6" w:rsidP="00AA4BEB">
      <w:pPr>
        <w:tabs>
          <w:tab w:val="left" w:pos="0"/>
        </w:tabs>
        <w:rPr>
          <w:rFonts w:asciiTheme="minorHAnsi" w:hAnsiTheme="minorHAnsi" w:cstheme="minorHAnsi"/>
          <w:color w:val="1F497D"/>
          <w:sz w:val="22"/>
        </w:rPr>
      </w:pPr>
      <w:hyperlink r:id="rId8" w:history="1">
        <w:r w:rsidR="00AA4BEB" w:rsidRPr="00AA4BEB">
          <w:rPr>
            <w:rStyle w:val="Collegamentoipertestuale"/>
            <w:rFonts w:asciiTheme="minorHAnsi" w:hAnsiTheme="minorHAnsi" w:cstheme="minorHAnsi"/>
            <w:sz w:val="22"/>
          </w:rPr>
          <w:t>https://twitter.com/Letsplay_roma</w:t>
        </w:r>
      </w:hyperlink>
    </w:p>
    <w:p w:rsidR="00AA4BEB" w:rsidRPr="00AA4BEB" w:rsidRDefault="009E7EA6" w:rsidP="00AA4BEB">
      <w:pPr>
        <w:tabs>
          <w:tab w:val="left" w:pos="0"/>
        </w:tabs>
        <w:rPr>
          <w:rFonts w:asciiTheme="minorHAnsi" w:hAnsiTheme="minorHAnsi" w:cstheme="minorHAnsi"/>
          <w:color w:val="1F497D"/>
          <w:sz w:val="22"/>
        </w:rPr>
      </w:pPr>
      <w:hyperlink r:id="rId9" w:history="1">
        <w:r w:rsidR="00AA4BEB" w:rsidRPr="00AA4BEB">
          <w:rPr>
            <w:rStyle w:val="Collegamentoipertestuale"/>
            <w:rFonts w:asciiTheme="minorHAnsi" w:hAnsiTheme="minorHAnsi" w:cstheme="minorHAnsi"/>
            <w:sz w:val="22"/>
          </w:rPr>
          <w:t>https://www.instagram.com/letsplay_roma/</w:t>
        </w:r>
      </w:hyperlink>
    </w:p>
    <w:sectPr w:rsidR="00AA4BEB" w:rsidRPr="00AA4BEB" w:rsidSect="006217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eciliaLTStd-Roman">
    <w:altName w:val="Cambria"/>
    <w:panose1 w:val="00000000000000000000"/>
    <w:charset w:val="00"/>
    <w:family w:val="roman"/>
    <w:notTrueType/>
    <w:pitch w:val="default"/>
    <w:sig w:usb0="00000003" w:usb1="00000000" w:usb2="00000000" w:usb3="00000000" w:csb0="00000001" w:csb1="00000000"/>
  </w:font>
  <w:font w:name="Tw Cen MT">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7DB7"/>
    <w:multiLevelType w:val="hybridMultilevel"/>
    <w:tmpl w:val="1A5C86A4"/>
    <w:lvl w:ilvl="0" w:tplc="B858A13E">
      <w:start w:val="1"/>
      <w:numFmt w:val="decimal"/>
      <w:pStyle w:val="Stile"/>
      <w:lvlText w:val="2.2.%1"/>
      <w:lvlJc w:val="left"/>
      <w:pPr>
        <w:ind w:left="72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D8D1C7A"/>
    <w:multiLevelType w:val="hybridMultilevel"/>
    <w:tmpl w:val="58B46198"/>
    <w:lvl w:ilvl="0" w:tplc="5CDA7C00">
      <w:start w:val="1"/>
      <w:numFmt w:val="decimal"/>
      <w:pStyle w:val="StileDeloitte"/>
      <w:lvlText w:val="%1."/>
      <w:lvlJc w:val="left"/>
      <w:pPr>
        <w:ind w:left="720" w:hanging="360"/>
      </w:pPr>
      <w:rPr>
        <w:rFonts w:hint="default"/>
      </w:rPr>
    </w:lvl>
    <w:lvl w:ilvl="1" w:tplc="04100019">
      <w:start w:val="1"/>
      <w:numFmt w:val="lowerLetter"/>
      <w:lvlText w:val="%2."/>
      <w:lvlJc w:val="left"/>
      <w:pPr>
        <w:ind w:left="1440" w:hanging="360"/>
      </w:pPr>
    </w:lvl>
    <w:lvl w:ilvl="2" w:tplc="BFEC36EE">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4A"/>
    <w:rsid w:val="00076540"/>
    <w:rsid w:val="0007744A"/>
    <w:rsid w:val="001D77E1"/>
    <w:rsid w:val="002C2C53"/>
    <w:rsid w:val="00390FB0"/>
    <w:rsid w:val="003B007E"/>
    <w:rsid w:val="004C49C7"/>
    <w:rsid w:val="0057484A"/>
    <w:rsid w:val="005A5CA7"/>
    <w:rsid w:val="0062170F"/>
    <w:rsid w:val="00644CB3"/>
    <w:rsid w:val="006D0282"/>
    <w:rsid w:val="007849E1"/>
    <w:rsid w:val="008A5180"/>
    <w:rsid w:val="008D03B4"/>
    <w:rsid w:val="008E7598"/>
    <w:rsid w:val="00975EC7"/>
    <w:rsid w:val="009E7EA6"/>
    <w:rsid w:val="00A112B2"/>
    <w:rsid w:val="00A72455"/>
    <w:rsid w:val="00A85663"/>
    <w:rsid w:val="00AA4BEB"/>
    <w:rsid w:val="00AE1646"/>
    <w:rsid w:val="00AE1760"/>
    <w:rsid w:val="00B5614C"/>
    <w:rsid w:val="00B76BCA"/>
    <w:rsid w:val="00BA1F67"/>
    <w:rsid w:val="00BC2875"/>
    <w:rsid w:val="00BD11A3"/>
    <w:rsid w:val="00C14323"/>
    <w:rsid w:val="00C57253"/>
    <w:rsid w:val="00C67C90"/>
    <w:rsid w:val="00C832BA"/>
    <w:rsid w:val="00D50F6B"/>
    <w:rsid w:val="00ED323C"/>
    <w:rsid w:val="00F974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FD01D-97C5-4BD8-BA85-1B90682B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744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8A518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Deloitte">
    <w:name w:val="StileDeloitte"/>
    <w:basedOn w:val="Titolo1"/>
    <w:link w:val="StileDeloitteCarattere"/>
    <w:autoRedefine/>
    <w:qFormat/>
    <w:rsid w:val="008A5180"/>
    <w:pPr>
      <w:keepLines w:val="0"/>
      <w:numPr>
        <w:numId w:val="1"/>
      </w:numPr>
      <w:pBdr>
        <w:bottom w:val="single" w:sz="4" w:space="2" w:color="002776"/>
      </w:pBdr>
      <w:spacing w:before="240" w:after="60"/>
    </w:pPr>
    <w:rPr>
      <w:rFonts w:asciiTheme="minorHAnsi" w:eastAsia="ヒラギノ角ゴ Pro W3" w:hAnsiTheme="minorHAnsi" w:cs="Arial"/>
      <w:bCs w:val="0"/>
      <w:smallCaps/>
      <w:color w:val="002776"/>
      <w:spacing w:val="-20"/>
      <w:kern w:val="28"/>
    </w:rPr>
  </w:style>
  <w:style w:type="character" w:customStyle="1" w:styleId="Titolo1Carattere">
    <w:name w:val="Titolo 1 Carattere"/>
    <w:basedOn w:val="Carpredefinitoparagrafo"/>
    <w:link w:val="Titolo1"/>
    <w:uiPriority w:val="9"/>
    <w:rsid w:val="008A5180"/>
    <w:rPr>
      <w:rFonts w:asciiTheme="majorHAnsi" w:eastAsiaTheme="majorEastAsia" w:hAnsiTheme="majorHAnsi" w:cstheme="majorBidi"/>
      <w:b/>
      <w:bCs/>
      <w:color w:val="365F91" w:themeColor="accent1" w:themeShade="BF"/>
      <w:sz w:val="28"/>
      <w:szCs w:val="28"/>
    </w:rPr>
  </w:style>
  <w:style w:type="character" w:customStyle="1" w:styleId="StileDeloitteCarattere">
    <w:name w:val="StileDeloitte Carattere"/>
    <w:basedOn w:val="Carpredefinitoparagrafo"/>
    <w:link w:val="StileDeloitte"/>
    <w:rsid w:val="008A5180"/>
    <w:rPr>
      <w:rFonts w:eastAsia="ヒラギノ角ゴ Pro W3" w:cs="Arial"/>
      <w:b/>
      <w:smallCaps/>
      <w:color w:val="002776"/>
      <w:spacing w:val="-20"/>
      <w:kern w:val="28"/>
      <w:sz w:val="28"/>
      <w:szCs w:val="28"/>
    </w:rPr>
  </w:style>
  <w:style w:type="paragraph" w:customStyle="1" w:styleId="Stile">
    <w:name w:val="Stile"/>
    <w:basedOn w:val="Rientrocorpodeltesto"/>
    <w:next w:val="Rientrocorpodeltesto"/>
    <w:autoRedefine/>
    <w:qFormat/>
    <w:rsid w:val="003B007E"/>
    <w:pPr>
      <w:widowControl w:val="0"/>
      <w:numPr>
        <w:numId w:val="2"/>
      </w:numPr>
      <w:autoSpaceDE w:val="0"/>
      <w:autoSpaceDN w:val="0"/>
      <w:adjustRightInd w:val="0"/>
      <w:spacing w:after="0"/>
      <w:jc w:val="both"/>
    </w:pPr>
    <w:rPr>
      <w:rFonts w:cs="CaeciliaLTStd-Roman"/>
      <w:b/>
      <w:color w:val="002060"/>
      <w:u w:color="002060"/>
    </w:rPr>
  </w:style>
  <w:style w:type="paragraph" w:styleId="Rientrocorpodeltesto">
    <w:name w:val="Body Text Indent"/>
    <w:basedOn w:val="Normale"/>
    <w:link w:val="RientrocorpodeltestoCarattere"/>
    <w:uiPriority w:val="99"/>
    <w:semiHidden/>
    <w:unhideWhenUsed/>
    <w:rsid w:val="003B007E"/>
    <w:pPr>
      <w:spacing w:after="120" w:line="276" w:lineRule="auto"/>
      <w:ind w:left="283"/>
    </w:pPr>
    <w:rPr>
      <w:rFonts w:asciiTheme="minorHAnsi" w:eastAsiaTheme="minorHAnsi" w:hAnsiTheme="minorHAnsi" w:cstheme="minorBidi"/>
      <w:sz w:val="22"/>
      <w:szCs w:val="22"/>
      <w:lang w:eastAsia="en-US"/>
    </w:rPr>
  </w:style>
  <w:style w:type="character" w:customStyle="1" w:styleId="RientrocorpodeltestoCarattere">
    <w:name w:val="Rientro corpo del testo Carattere"/>
    <w:basedOn w:val="Carpredefinitoparagrafo"/>
    <w:link w:val="Rientrocorpodeltesto"/>
    <w:uiPriority w:val="99"/>
    <w:semiHidden/>
    <w:rsid w:val="003B007E"/>
  </w:style>
  <w:style w:type="table" w:styleId="Grigliatabella">
    <w:name w:val="Table Grid"/>
    <w:basedOn w:val="Tabellanormale"/>
    <w:uiPriority w:val="59"/>
    <w:rsid w:val="00644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BC2875"/>
    <w:pPr>
      <w:spacing w:before="100" w:beforeAutospacing="1" w:after="100" w:afterAutospacing="1"/>
    </w:pPr>
  </w:style>
  <w:style w:type="character" w:styleId="Collegamentoipertestuale">
    <w:name w:val="Hyperlink"/>
    <w:basedOn w:val="Carpredefinitoparagrafo"/>
    <w:uiPriority w:val="99"/>
    <w:unhideWhenUsed/>
    <w:rsid w:val="006D0282"/>
    <w:rPr>
      <w:color w:val="0000FF" w:themeColor="hyperlink"/>
      <w:u w:val="single"/>
    </w:rPr>
  </w:style>
  <w:style w:type="paragraph" w:customStyle="1" w:styleId="Default">
    <w:name w:val="Default"/>
    <w:rsid w:val="00AA4BEB"/>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2154">
      <w:bodyDiv w:val="1"/>
      <w:marLeft w:val="0"/>
      <w:marRight w:val="0"/>
      <w:marTop w:val="0"/>
      <w:marBottom w:val="0"/>
      <w:divBdr>
        <w:top w:val="none" w:sz="0" w:space="0" w:color="auto"/>
        <w:left w:val="none" w:sz="0" w:space="0" w:color="auto"/>
        <w:bottom w:val="none" w:sz="0" w:space="0" w:color="auto"/>
        <w:right w:val="none" w:sz="0" w:space="0" w:color="auto"/>
      </w:divBdr>
    </w:div>
    <w:div w:id="5550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Letsplay_roma" TargetMode="External"/><Relationship Id="rId3" Type="http://schemas.openxmlformats.org/officeDocument/2006/relationships/settings" Target="settings.xml"/><Relationship Id="rId7" Type="http://schemas.openxmlformats.org/officeDocument/2006/relationships/hyperlink" Target="https://www.facebook.com/LetsPlayRoma/?fref=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tsplay.net/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letsplay_ro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CostanzaRapone</dc:creator>
  <cp:lastModifiedBy>Mariagrazia Martorana</cp:lastModifiedBy>
  <cp:revision>5</cp:revision>
  <dcterms:created xsi:type="dcterms:W3CDTF">2017-02-13T11:46:00Z</dcterms:created>
  <dcterms:modified xsi:type="dcterms:W3CDTF">2017-02-15T09:19:00Z</dcterms:modified>
</cp:coreProperties>
</file>